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Особенности налогообложения по видам экономической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/Беляева Елена Рудольфовна/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«Особенности налогообложения по видам экономической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«Особенности налогообложения по видам экономической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«Особенности налогообложения по видам экономической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«Особенности налогообложения по видам экономической деятельности»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18.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сфер общественного производства как составная часть налоговой политики государства. Цель, задачи, основные направления и методы налогового регулирования  деятельности хозяйствующих субъектов-организаций производственного сектора, сельскохозяйственных товаропроизводителей, организаций строительства, оптовой и розничной торговли. Перспективы совершенствования механизма налогообложения деятельности организаций отдельных секторов экономики. Инструменты повышения эффективности налогового администрирования, с учетом специфики видов деятельности налогоплательщиков.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808.2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методологические принципы налогообложения промышленных организаций. Влияние формирования специальных и резервных фондов на налоговую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базу по налогу на прибыль. Специфика налогообложения операций по реализации готовой продукции через структурное подразделение производственного предприятия. Особенности налогового учета готовой продукции производственных предприятий обрабатывающей и перерабатывающей промышленности.</w:t>
            </w:r>
          </w:p>
          <w:p>
            <w:pPr>
              <w:jc w:val="both"/>
              <w:spacing w:after="0" w:line="240" w:lineRule="auto"/>
              <w:rPr>
                <w:sz w:val="24"/>
                <w:szCs w:val="24"/>
              </w:rPr>
            </w:pPr>
            <w:r>
              <w:rPr>
                <w:rFonts w:ascii="Times New Roman" w:hAnsi="Times New Roman" w:cs="Times New Roman"/>
                <w:color w:val="#000000"/>
                <w:sz w:val="24"/>
                <w:szCs w:val="24"/>
              </w:rPr>
              <w:t> Переработка сырья на давальческой основе: особенности налогообложения.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налогообложения операций по реализации сельскохозяйственной продукции. НДС по операциям купли-продажи недвижимости, договорам товарного займа. Особенности  налогового  учета  в  многопрофильной сельскохозяйственной организации. Специфика  налогообложения  имущества  сельскохозяйственных организаций. Особенности уплаты транспортного налога сельскохозяйственными организациями. Налоговая декларация по транспортному налогу: порядок формирования.</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инвестиционно-строительной деятельности, их взаимосвязь и взаимодействия. Понятие строительно-монтажных работ. Документооборот в строительной отрасли. Особенности формирования затрат строительных организаций для целей налогообложения. Незавершенное производство для целей налогообложения. Специфика налогообложения внеоборотных активов в строительной организации. Лизинговые операции. Налоговый учет по внеобортным активам строительных организаций. Особенности формирования налоговой базы по налогу на прибыль, на этапах выполнения и сдачи строительно-монтажных работ. Налоговый учет по долгосрочным договорам на строительство. Особенности применения и ведения налогового учета, в соответствии с главой 25 НК РФ в строительных организациях. Порядок формирования налоговой базы по НДС в строительных организациях. Особенности формирования налоговой отчетности по НДС в строительных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налогообложения, особенности их определения в сфере обращения (на примере налога на прибыль, налога на добавленную стоимость). Влияние использования торговых скидок и надбавок на формирование налоговой базы по отдельным видам налогов. Расходы, учитываемые при исчислении налоговой базы по налогу на прибыль в организациях торговли. Особенности исчисления и уплаты налога на добавленную стоимость при импорте товаров, при выдаче товарного займа торговыми организациями. Формирование налоговых вычетов по налогу на добавленную стоимость в торговых организациях. Особенности налогообложения посреднической деятельности в торговых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4626.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 порядке исчисления налога на добавленную стоимость у некоммерческих организаций:  освобождение  от  обязанностей налогоплательщика;  состав  операций,  не признаваемых  объектом налогообложения, особенности определения налоговой базы при реализации имущества, учитываемого с НДС; условия и порядок применения налоговых вычетов; порядок отнесения сумм НДС, предъявленных поставщиками; условия применения налоговой ставки НДС 0%, 10%; операции, не облагаемые НДС (состав и условия освобождения). Особенности налогообложения  прибыли у некоммерческих организаций: состав доходов, особенности исключения из налоговой базы отдельных видов доходов. Доходы в виде имущества, полученного в рамках целевого финансирования: состав и условия исключения из налоговой базы. Доходы, полученные в рамках целевых поступлений: состав и условия исключения  из  налоговой базы. Состав и порядок признания внереализационных доходов. Расходы для целей налогообложения прибыли некоммерческих организаций: организация раздельного учета расходов от уставной и предпринимательской деятельности. Состав внереализационных расходов. Особенности начисления амортизации для целей налогообложения. Характеристика резервов, создаваемых некоммерческими организациями: резервы по сомнительным долгам, резервы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гарантийному ремонту и гарантийному обслуживанию, резервы предстоящих расходов на НИОКР, резервы предстоящих расходов на оплату отпусков, резерва на выплату ежегодного вознаграждения за выслугу лет, резервы предстоящих расходов некоммерческих организаций. Порядок исчисления и уплаты страховых взносов некоммерческими организациями. Возможности применения пониженных тарифов для отдельных организационно-правовых форм некоммерческих организаций. Порядок исчисления и уплаты страховых взносов некоммерческими организациями, осуществляющими выплаты в пользу физических лиц.</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Налоговое регулирование экономик</w:t>
            </w:r>
          </w:p>
          <w:p>
            <w:pPr>
              <w:jc w:val="both"/>
              <w:spacing w:after="0" w:line="240" w:lineRule="auto"/>
              <w:rPr>
                <w:sz w:val="24"/>
                <w:szCs w:val="24"/>
              </w:rPr>
            </w:pPr>
            <w:r>
              <w:rPr>
                <w:rFonts w:ascii="Times New Roman" w:hAnsi="Times New Roman" w:cs="Times New Roman"/>
                <w:color w:val="#000000"/>
                <w:sz w:val="24"/>
                <w:szCs w:val="24"/>
              </w:rPr>
              <w:t> 2.	Механизм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3.	Модель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4.	Формы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5.	Методы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налогового регулирования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 налогообложения:</w:t>
            </w:r>
          </w:p>
          <w:p>
            <w:pPr>
              <w:jc w:val="both"/>
              <w:spacing w:after="0" w:line="240" w:lineRule="auto"/>
              <w:rPr>
                <w:sz w:val="24"/>
                <w:szCs w:val="24"/>
              </w:rPr>
            </w:pPr>
            <w:r>
              <w:rPr>
                <w:rFonts w:ascii="Times New Roman" w:hAnsi="Times New Roman" w:cs="Times New Roman"/>
                <w:color w:val="#000000"/>
                <w:sz w:val="24"/>
                <w:szCs w:val="24"/>
              </w:rPr>
              <w:t> 2.	ОСНО, УСН, ЕСХН.</w:t>
            </w:r>
          </w:p>
          <w:p>
            <w:pPr>
              <w:jc w:val="both"/>
              <w:spacing w:after="0" w:line="240" w:lineRule="auto"/>
              <w:rPr>
                <w:sz w:val="24"/>
                <w:szCs w:val="24"/>
              </w:rPr>
            </w:pPr>
            <w:r>
              <w:rPr>
                <w:rFonts w:ascii="Times New Roman" w:hAnsi="Times New Roman" w:cs="Times New Roman"/>
                <w:color w:val="#000000"/>
                <w:sz w:val="24"/>
                <w:szCs w:val="24"/>
              </w:rPr>
              <w:t> 3.	Выбор систем налогообложения от вида деятельности и особенностей бизнеса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предприятия могут применять могут применять ЕСХН?</w:t>
            </w:r>
          </w:p>
          <w:p>
            <w:pPr>
              <w:jc w:val="both"/>
              <w:spacing w:after="0" w:line="240" w:lineRule="auto"/>
              <w:rPr>
                <w:sz w:val="24"/>
                <w:szCs w:val="24"/>
              </w:rPr>
            </w:pPr>
            <w:r>
              <w:rPr>
                <w:rFonts w:ascii="Times New Roman" w:hAnsi="Times New Roman" w:cs="Times New Roman"/>
                <w:color w:val="#000000"/>
                <w:sz w:val="24"/>
                <w:szCs w:val="24"/>
              </w:rPr>
              <w:t> 2.	Единый сельскохозяйственный налог, условия применения.</w:t>
            </w:r>
          </w:p>
          <w:p>
            <w:pPr>
              <w:jc w:val="both"/>
              <w:spacing w:after="0" w:line="240" w:lineRule="auto"/>
              <w:rPr>
                <w:sz w:val="24"/>
                <w:szCs w:val="24"/>
              </w:rPr>
            </w:pPr>
            <w:r>
              <w:rPr>
                <w:rFonts w:ascii="Times New Roman" w:hAnsi="Times New Roman" w:cs="Times New Roman"/>
                <w:color w:val="#000000"/>
                <w:sz w:val="24"/>
                <w:szCs w:val="24"/>
              </w:rPr>
              <w:t> 3.	Применение налогового режима для рыбных хозяйств и компании, оказывающих услуги в области растениеводства и животноводства:подготовка полей, опрыскивание, обрезка фруктовых деревьев и винограда, перегон и выпас скота.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Режимы налогообложения;</w:t>
            </w:r>
          </w:p>
          <w:p>
            <w:pPr>
              <w:jc w:val="both"/>
              <w:spacing w:after="0" w:line="240" w:lineRule="auto"/>
              <w:rPr>
                <w:sz w:val="24"/>
                <w:szCs w:val="24"/>
              </w:rPr>
            </w:pPr>
            <w:r>
              <w:rPr>
                <w:rFonts w:ascii="Times New Roman" w:hAnsi="Times New Roman" w:cs="Times New Roman"/>
                <w:color w:val="#000000"/>
                <w:sz w:val="24"/>
                <w:szCs w:val="24"/>
              </w:rPr>
              <w:t> 2.	Виды налогов и сборов в строительстве;</w:t>
            </w:r>
          </w:p>
          <w:p>
            <w:pPr>
              <w:jc w:val="both"/>
              <w:spacing w:after="0" w:line="240" w:lineRule="auto"/>
              <w:rPr>
                <w:sz w:val="24"/>
                <w:szCs w:val="24"/>
              </w:rPr>
            </w:pPr>
            <w:r>
              <w:rPr>
                <w:rFonts w:ascii="Times New Roman" w:hAnsi="Times New Roman" w:cs="Times New Roman"/>
                <w:color w:val="#000000"/>
                <w:sz w:val="24"/>
                <w:szCs w:val="24"/>
              </w:rPr>
              <w:t> 3.	Элементы налогов, разработка учетной политики предприятия для целей налогового учета;</w:t>
            </w:r>
          </w:p>
          <w:p>
            <w:pPr>
              <w:jc w:val="both"/>
              <w:spacing w:after="0" w:line="240" w:lineRule="auto"/>
              <w:rPr>
                <w:sz w:val="24"/>
                <w:szCs w:val="24"/>
              </w:rPr>
            </w:pPr>
            <w:r>
              <w:rPr>
                <w:rFonts w:ascii="Times New Roman" w:hAnsi="Times New Roman" w:cs="Times New Roman"/>
                <w:color w:val="#000000"/>
                <w:sz w:val="24"/>
                <w:szCs w:val="24"/>
              </w:rPr>
              <w:t> 4.	Расчет основных элементов налогообложения. Налоговое планирование с целью снижения налоговой нагрузки на строительную организацию.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торговых предприятий</w:t>
            </w:r>
          </w:p>
          <w:p>
            <w:pPr>
              <w:jc w:val="both"/>
              <w:spacing w:after="0" w:line="240" w:lineRule="auto"/>
              <w:rPr>
                <w:sz w:val="24"/>
                <w:szCs w:val="24"/>
              </w:rPr>
            </w:pPr>
            <w:r>
              <w:rPr>
                <w:rFonts w:ascii="Times New Roman" w:hAnsi="Times New Roman" w:cs="Times New Roman"/>
                <w:color w:val="#000000"/>
                <w:sz w:val="24"/>
                <w:szCs w:val="24"/>
              </w:rPr>
              <w:t> 2.	Выбор налогового режима торгового предприятия в зависимость от масштабов, формы и организации деятельности</w:t>
            </w:r>
          </w:p>
          <w:p>
            <w:pPr>
              <w:jc w:val="both"/>
              <w:spacing w:after="0" w:line="240" w:lineRule="auto"/>
              <w:rPr>
                <w:sz w:val="24"/>
                <w:szCs w:val="24"/>
              </w:rPr>
            </w:pPr>
            <w:r>
              <w:rPr>
                <w:rFonts w:ascii="Times New Roman" w:hAnsi="Times New Roman" w:cs="Times New Roman"/>
                <w:color w:val="#000000"/>
                <w:sz w:val="24"/>
                <w:szCs w:val="24"/>
              </w:rPr>
              <w:t> 3.	Система налогообложения для розничной торговли</w:t>
            </w:r>
          </w:p>
          <w:p>
            <w:pPr>
              <w:jc w:val="both"/>
              <w:spacing w:after="0" w:line="240" w:lineRule="auto"/>
              <w:rPr>
                <w:sz w:val="24"/>
                <w:szCs w:val="24"/>
              </w:rPr>
            </w:pPr>
            <w:r>
              <w:rPr>
                <w:rFonts w:ascii="Times New Roman" w:hAnsi="Times New Roman" w:cs="Times New Roman"/>
                <w:color w:val="#000000"/>
                <w:sz w:val="24"/>
                <w:szCs w:val="24"/>
              </w:rPr>
              <w:t> 4.	Система налогообложения для оптовой торговли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Федеральный закон от 12.01.1996 № 7-ФЗ «О некоммерческих организациях».</w:t>
            </w:r>
          </w:p>
          <w:p>
            <w:pPr>
              <w:jc w:val="both"/>
              <w:spacing w:after="0" w:line="240" w:lineRule="auto"/>
              <w:rPr>
                <w:sz w:val="24"/>
                <w:szCs w:val="24"/>
              </w:rPr>
            </w:pPr>
            <w:r>
              <w:rPr>
                <w:rFonts w:ascii="Times New Roman" w:hAnsi="Times New Roman" w:cs="Times New Roman"/>
                <w:color w:val="#000000"/>
                <w:sz w:val="24"/>
                <w:szCs w:val="24"/>
              </w:rPr>
              <w:t> 2.	Статус деятельности НКО и определение особенности их налогообложения.</w:t>
            </w:r>
          </w:p>
          <w:p>
            <w:pPr>
              <w:jc w:val="both"/>
              <w:spacing w:after="0" w:line="240" w:lineRule="auto"/>
              <w:rPr>
                <w:sz w:val="24"/>
                <w:szCs w:val="24"/>
              </w:rPr>
            </w:pPr>
            <w:r>
              <w:rPr>
                <w:rFonts w:ascii="Times New Roman" w:hAnsi="Times New Roman" w:cs="Times New Roman"/>
                <w:color w:val="#000000"/>
                <w:sz w:val="24"/>
                <w:szCs w:val="24"/>
              </w:rPr>
              <w:t> 3.	Объекты налогообложения НКО.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«Особенности налогообложения по видам экономической деятельности» / Беляева Елена Рудольфовна.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978-5-4497-1294-3.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http://www.iprbookshop.ru/109158.html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https://urait.ru/bcode/496652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2023-2024_ФГОС3++2023_Бак-ОФО-Э(УАиА)(23)_plx_Особенности налогообложения по видам экономической деятельности</dc:title>
  <dc:creator>FastReport.NET</dc:creator>
</cp:coreProperties>
</file>